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5EE85" w14:textId="2D425A3D" w:rsidR="00047D3B" w:rsidRDefault="00047D3B" w:rsidP="00B7396E">
      <w:pPr>
        <w:pStyle w:val="AcentraLetterText"/>
        <w:jc w:val="center"/>
        <w:rPr>
          <w:b/>
          <w:bCs/>
          <w:sz w:val="24"/>
          <w:szCs w:val="24"/>
        </w:rPr>
      </w:pPr>
      <w:bookmarkStart w:id="0" w:name="_Hlk149135135"/>
      <w:r w:rsidRPr="00B7396E">
        <w:rPr>
          <w:b/>
          <w:bCs/>
          <w:sz w:val="24"/>
          <w:szCs w:val="24"/>
        </w:rPr>
        <w:t xml:space="preserve">Follow up from the June 2024 </w:t>
      </w:r>
      <w:r w:rsidR="00E952B9">
        <w:rPr>
          <w:b/>
          <w:bCs/>
          <w:sz w:val="24"/>
          <w:szCs w:val="24"/>
        </w:rPr>
        <w:t xml:space="preserve">Durable Medical Equipment </w:t>
      </w:r>
      <w:r w:rsidRPr="00B7396E">
        <w:rPr>
          <w:b/>
          <w:bCs/>
          <w:sz w:val="24"/>
          <w:szCs w:val="24"/>
        </w:rPr>
        <w:t>Provider Education Webinars</w:t>
      </w:r>
    </w:p>
    <w:p w14:paraId="4C8ED60A" w14:textId="112872CA" w:rsidR="00A03624" w:rsidRDefault="00A03624" w:rsidP="00B7396E">
      <w:pPr>
        <w:pStyle w:val="AcentraLetterText"/>
        <w:jc w:val="center"/>
        <w:rPr>
          <w:b/>
          <w:bCs/>
          <w:sz w:val="24"/>
          <w:szCs w:val="24"/>
        </w:rPr>
      </w:pPr>
      <w:r>
        <w:rPr>
          <w:b/>
          <w:bCs/>
          <w:sz w:val="24"/>
          <w:szCs w:val="24"/>
        </w:rPr>
        <w:t>Q&amp;A</w:t>
      </w:r>
    </w:p>
    <w:p w14:paraId="54B0FB0D" w14:textId="77777777" w:rsidR="001B66A6" w:rsidRPr="00B7396E" w:rsidRDefault="001B66A6" w:rsidP="00B7396E">
      <w:pPr>
        <w:pStyle w:val="AcentraLetterText"/>
        <w:jc w:val="center"/>
        <w:rPr>
          <w:b/>
          <w:bCs/>
          <w:sz w:val="24"/>
          <w:szCs w:val="24"/>
        </w:rPr>
      </w:pPr>
    </w:p>
    <w:p w14:paraId="28D7D473" w14:textId="2433F76C" w:rsidR="00047D3B" w:rsidRDefault="00047D3B" w:rsidP="00047D3B">
      <w:pPr>
        <w:pStyle w:val="AcentraLetterText"/>
        <w:rPr>
          <w:b/>
          <w:bCs/>
          <w:sz w:val="24"/>
          <w:szCs w:val="24"/>
        </w:rPr>
      </w:pPr>
      <w:r w:rsidRPr="00B7396E">
        <w:rPr>
          <w:b/>
          <w:bCs/>
          <w:sz w:val="24"/>
          <w:szCs w:val="24"/>
        </w:rPr>
        <w:t>“</w:t>
      </w:r>
      <w:r w:rsidR="00E952B9">
        <w:rPr>
          <w:b/>
          <w:bCs/>
          <w:sz w:val="24"/>
          <w:szCs w:val="24"/>
        </w:rPr>
        <w:t>Can you please confirm the portal address for prior authorization submissions</w:t>
      </w:r>
      <w:r w:rsidRPr="00B7396E">
        <w:rPr>
          <w:b/>
          <w:bCs/>
          <w:sz w:val="24"/>
          <w:szCs w:val="24"/>
        </w:rPr>
        <w:t>?”</w:t>
      </w:r>
    </w:p>
    <w:p w14:paraId="56AFC50B" w14:textId="7A9B5D96" w:rsidR="00E952B9" w:rsidRPr="00E952B9" w:rsidRDefault="00E952B9" w:rsidP="00047D3B">
      <w:pPr>
        <w:pStyle w:val="AcentraLetterText"/>
        <w:rPr>
          <w:sz w:val="22"/>
          <w:szCs w:val="22"/>
        </w:rPr>
      </w:pPr>
      <w:r w:rsidRPr="00E952B9">
        <w:rPr>
          <w:sz w:val="22"/>
          <w:szCs w:val="22"/>
        </w:rPr>
        <w:t>The ANG web portal can be accessed from either of the following sites:</w:t>
      </w:r>
    </w:p>
    <w:p w14:paraId="56BB02D7" w14:textId="44B6173C" w:rsidR="00E952B9" w:rsidRPr="00E952B9" w:rsidRDefault="00E952B9" w:rsidP="00047D3B">
      <w:pPr>
        <w:pStyle w:val="AcentraLetterText"/>
        <w:rPr>
          <w:sz w:val="22"/>
          <w:szCs w:val="22"/>
        </w:rPr>
      </w:pPr>
      <w:hyperlink r:id="rId11" w:history="1">
        <w:r w:rsidRPr="00E952B9">
          <w:rPr>
            <w:rStyle w:val="Hyperlink"/>
            <w:sz w:val="22"/>
            <w:szCs w:val="22"/>
          </w:rPr>
          <w:t>https://portal.kepro.com</w:t>
        </w:r>
      </w:hyperlink>
      <w:r w:rsidRPr="00E952B9">
        <w:rPr>
          <w:sz w:val="22"/>
          <w:szCs w:val="22"/>
        </w:rPr>
        <w:t xml:space="preserve"> </w:t>
      </w:r>
    </w:p>
    <w:p w14:paraId="70D3CAB7" w14:textId="41142F23" w:rsidR="00E952B9" w:rsidRPr="00E952B9" w:rsidRDefault="00E952B9" w:rsidP="00047D3B">
      <w:pPr>
        <w:pStyle w:val="AcentraLetterText"/>
        <w:rPr>
          <w:b/>
          <w:bCs/>
          <w:sz w:val="22"/>
          <w:szCs w:val="22"/>
        </w:rPr>
      </w:pPr>
      <w:hyperlink r:id="rId12" w:history="1">
        <w:r w:rsidRPr="00E952B9">
          <w:rPr>
            <w:rStyle w:val="Hyperlink"/>
            <w:sz w:val="22"/>
            <w:szCs w:val="22"/>
          </w:rPr>
          <w:t>https://scdhhs.acentra.com</w:t>
        </w:r>
      </w:hyperlink>
      <w:r w:rsidRPr="00E952B9">
        <w:rPr>
          <w:sz w:val="22"/>
          <w:szCs w:val="22"/>
        </w:rPr>
        <w:t xml:space="preserve"> </w:t>
      </w:r>
    </w:p>
    <w:p w14:paraId="6E57B05F" w14:textId="77777777" w:rsidR="00E952B9" w:rsidRDefault="00E952B9" w:rsidP="00047D3B">
      <w:pPr>
        <w:pStyle w:val="AcentraLetterText"/>
        <w:rPr>
          <w:b/>
          <w:bCs/>
          <w:sz w:val="24"/>
          <w:szCs w:val="24"/>
        </w:rPr>
      </w:pPr>
    </w:p>
    <w:p w14:paraId="79887419" w14:textId="21124738" w:rsidR="00E952B9" w:rsidRDefault="00E952B9" w:rsidP="00047D3B">
      <w:pPr>
        <w:pStyle w:val="AcentraLetterText"/>
        <w:rPr>
          <w:b/>
          <w:bCs/>
          <w:sz w:val="24"/>
          <w:szCs w:val="24"/>
        </w:rPr>
      </w:pPr>
      <w:r>
        <w:rPr>
          <w:b/>
          <w:bCs/>
          <w:sz w:val="24"/>
          <w:szCs w:val="24"/>
        </w:rPr>
        <w:t xml:space="preserve">“Can we download </w:t>
      </w:r>
      <w:proofErr w:type="gramStart"/>
      <w:r>
        <w:rPr>
          <w:b/>
          <w:bCs/>
          <w:sz w:val="24"/>
          <w:szCs w:val="24"/>
        </w:rPr>
        <w:t>the PowerPoint</w:t>
      </w:r>
      <w:proofErr w:type="gramEnd"/>
      <w:r>
        <w:rPr>
          <w:b/>
          <w:bCs/>
          <w:sz w:val="24"/>
          <w:szCs w:val="24"/>
        </w:rPr>
        <w:t>?</w:t>
      </w:r>
    </w:p>
    <w:p w14:paraId="04E162FD" w14:textId="6771A8C0" w:rsidR="00E952B9" w:rsidRPr="00E952B9" w:rsidRDefault="00E952B9" w:rsidP="00047D3B">
      <w:pPr>
        <w:pStyle w:val="AcentraLetterText"/>
        <w:rPr>
          <w:sz w:val="24"/>
          <w:szCs w:val="24"/>
        </w:rPr>
      </w:pPr>
      <w:r>
        <w:rPr>
          <w:sz w:val="24"/>
          <w:szCs w:val="24"/>
        </w:rPr>
        <w:t xml:space="preserve">Yes, the presentation can be found on the Acentra Health website, under Resources and Training, Durable Medical Equipment. </w:t>
      </w:r>
    </w:p>
    <w:p w14:paraId="798AC74E" w14:textId="77777777" w:rsidR="00E952B9" w:rsidRDefault="00E952B9" w:rsidP="00047D3B">
      <w:pPr>
        <w:pStyle w:val="AcentraLetterText"/>
        <w:rPr>
          <w:b/>
          <w:bCs/>
          <w:sz w:val="24"/>
          <w:szCs w:val="24"/>
        </w:rPr>
      </w:pPr>
    </w:p>
    <w:p w14:paraId="3D6D11A7" w14:textId="2DF4DB31" w:rsidR="00E952B9" w:rsidRDefault="00E952B9" w:rsidP="00047D3B">
      <w:pPr>
        <w:pStyle w:val="AcentraLetterText"/>
        <w:rPr>
          <w:b/>
          <w:bCs/>
          <w:sz w:val="24"/>
          <w:szCs w:val="24"/>
        </w:rPr>
      </w:pPr>
      <w:r>
        <w:rPr>
          <w:b/>
          <w:bCs/>
          <w:sz w:val="24"/>
          <w:szCs w:val="24"/>
        </w:rPr>
        <w:t xml:space="preserve">For patients with ongoing supplies/rentals what should be listed as the date of service since there is a </w:t>
      </w:r>
      <w:proofErr w:type="gramStart"/>
      <w:r>
        <w:rPr>
          <w:b/>
          <w:bCs/>
          <w:sz w:val="24"/>
          <w:szCs w:val="24"/>
        </w:rPr>
        <w:t>90 day</w:t>
      </w:r>
      <w:proofErr w:type="gramEnd"/>
      <w:r>
        <w:rPr>
          <w:b/>
          <w:bCs/>
          <w:sz w:val="24"/>
          <w:szCs w:val="24"/>
        </w:rPr>
        <w:t xml:space="preserve"> requirement for patient to be seen and RX date and we can’t know when the patient has been seen to the doctor?</w:t>
      </w:r>
    </w:p>
    <w:p w14:paraId="3C42D771" w14:textId="4F15963C" w:rsidR="00AA05C3" w:rsidRDefault="00AA05C3" w:rsidP="00047D3B">
      <w:pPr>
        <w:pStyle w:val="AcentraLetterText"/>
        <w:rPr>
          <w:sz w:val="24"/>
          <w:szCs w:val="24"/>
        </w:rPr>
      </w:pPr>
      <w:r>
        <w:rPr>
          <w:sz w:val="24"/>
          <w:szCs w:val="24"/>
        </w:rPr>
        <w:t xml:space="preserve">When the patient receives an order for services and a MCMN has been completed by the physician, the MCMN is valid for up to 365 days, given the member’s eligibility remains active. </w:t>
      </w:r>
    </w:p>
    <w:p w14:paraId="2532D769" w14:textId="1460B4E0" w:rsidR="00AA05C3" w:rsidRDefault="00AA05C3" w:rsidP="00047D3B">
      <w:pPr>
        <w:pStyle w:val="AcentraLetterText"/>
        <w:rPr>
          <w:sz w:val="24"/>
          <w:szCs w:val="24"/>
        </w:rPr>
      </w:pPr>
      <w:r>
        <w:rPr>
          <w:sz w:val="24"/>
          <w:szCs w:val="24"/>
        </w:rPr>
        <w:t xml:space="preserve">The service date should be the date you are requesting the service or anticipated delivery day. The authorization will be provided for a specific period of time, up to 365 days, based on the MCMN or SCDHHS regulations. </w:t>
      </w:r>
    </w:p>
    <w:p w14:paraId="0DED7671" w14:textId="131431D1" w:rsidR="00AA05C3" w:rsidRPr="00AA05C3" w:rsidRDefault="00AA05C3" w:rsidP="00047D3B">
      <w:pPr>
        <w:pStyle w:val="AcentraLetterText"/>
        <w:rPr>
          <w:sz w:val="24"/>
          <w:szCs w:val="24"/>
        </w:rPr>
      </w:pPr>
      <w:r>
        <w:rPr>
          <w:sz w:val="24"/>
          <w:szCs w:val="24"/>
        </w:rPr>
        <w:t>For specific case related questions, please call the Acentra Health Customer Service Center at 1-855-326-5219.</w:t>
      </w:r>
    </w:p>
    <w:p w14:paraId="2DEA2532" w14:textId="77777777" w:rsidR="00E952B9" w:rsidRDefault="00E952B9" w:rsidP="00047D3B">
      <w:pPr>
        <w:pStyle w:val="AcentraLetterText"/>
        <w:rPr>
          <w:b/>
          <w:bCs/>
          <w:sz w:val="24"/>
          <w:szCs w:val="24"/>
        </w:rPr>
      </w:pPr>
    </w:p>
    <w:p w14:paraId="46FAB21C" w14:textId="69B0ED23" w:rsidR="00E952B9" w:rsidRDefault="00AA05C3" w:rsidP="00047D3B">
      <w:pPr>
        <w:pStyle w:val="AcentraLetterText"/>
        <w:rPr>
          <w:b/>
          <w:bCs/>
          <w:sz w:val="24"/>
          <w:szCs w:val="24"/>
        </w:rPr>
      </w:pPr>
      <w:r>
        <w:rPr>
          <w:b/>
          <w:bCs/>
          <w:sz w:val="24"/>
          <w:szCs w:val="24"/>
        </w:rPr>
        <w:t>W</w:t>
      </w:r>
      <w:r w:rsidR="00E952B9">
        <w:rPr>
          <w:b/>
          <w:bCs/>
          <w:sz w:val="24"/>
          <w:szCs w:val="24"/>
        </w:rPr>
        <w:t xml:space="preserve">hat if there are discrepancies between what the manual states requires an authorization </w:t>
      </w:r>
      <w:r>
        <w:rPr>
          <w:b/>
          <w:bCs/>
          <w:sz w:val="24"/>
          <w:szCs w:val="24"/>
        </w:rPr>
        <w:t>and</w:t>
      </w:r>
      <w:r w:rsidR="00E952B9">
        <w:rPr>
          <w:b/>
          <w:bCs/>
          <w:sz w:val="24"/>
          <w:szCs w:val="24"/>
        </w:rPr>
        <w:t xml:space="preserve"> the response we get back? As an </w:t>
      </w:r>
      <w:r>
        <w:rPr>
          <w:b/>
          <w:bCs/>
          <w:sz w:val="24"/>
          <w:szCs w:val="24"/>
        </w:rPr>
        <w:t>example,</w:t>
      </w:r>
      <w:r w:rsidR="00E952B9">
        <w:rPr>
          <w:b/>
          <w:bCs/>
          <w:sz w:val="24"/>
          <w:szCs w:val="24"/>
        </w:rPr>
        <w:t xml:space="preserve"> the manual for SC </w:t>
      </w:r>
      <w:r w:rsidR="00E952B9">
        <w:rPr>
          <w:b/>
          <w:bCs/>
          <w:sz w:val="24"/>
          <w:szCs w:val="24"/>
        </w:rPr>
        <w:lastRenderedPageBreak/>
        <w:t xml:space="preserve">Medicaid states that a PA is requires for </w:t>
      </w:r>
      <w:proofErr w:type="gramStart"/>
      <w:r w:rsidR="00E952B9">
        <w:rPr>
          <w:b/>
          <w:bCs/>
          <w:sz w:val="24"/>
          <w:szCs w:val="24"/>
        </w:rPr>
        <w:t>E0465</w:t>
      </w:r>
      <w:proofErr w:type="gramEnd"/>
      <w:r w:rsidR="00E952B9">
        <w:rPr>
          <w:b/>
          <w:bCs/>
          <w:sz w:val="24"/>
          <w:szCs w:val="24"/>
        </w:rPr>
        <w:t xml:space="preserve"> but we received a response that no PA is required. Do we need to call?</w:t>
      </w:r>
    </w:p>
    <w:p w14:paraId="12553627" w14:textId="03828569" w:rsidR="00AA05C3" w:rsidRDefault="00AA05C3" w:rsidP="00047D3B">
      <w:pPr>
        <w:pStyle w:val="AcentraLetterText"/>
        <w:rPr>
          <w:sz w:val="24"/>
          <w:szCs w:val="24"/>
        </w:rPr>
      </w:pPr>
      <w:r>
        <w:rPr>
          <w:sz w:val="24"/>
          <w:szCs w:val="24"/>
        </w:rPr>
        <w:t xml:space="preserve">Acentra Health uses the SCDHHS DME Fee Schedule to verify codes requiring prior authorization. According to the most recent fee schedule dated 6/17/2024, E0465 does not require </w:t>
      </w:r>
      <w:proofErr w:type="gramStart"/>
      <w:r>
        <w:rPr>
          <w:sz w:val="24"/>
          <w:szCs w:val="24"/>
        </w:rPr>
        <w:t>a prior</w:t>
      </w:r>
      <w:proofErr w:type="gramEnd"/>
      <w:r>
        <w:rPr>
          <w:sz w:val="24"/>
          <w:szCs w:val="24"/>
        </w:rPr>
        <w:t xml:space="preserve"> authorization. </w:t>
      </w:r>
    </w:p>
    <w:p w14:paraId="045F53CB" w14:textId="41D1C5A3" w:rsidR="00AA05C3" w:rsidRDefault="00AA05C3" w:rsidP="00047D3B">
      <w:pPr>
        <w:pStyle w:val="AcentraLetterText"/>
        <w:rPr>
          <w:sz w:val="24"/>
          <w:szCs w:val="24"/>
        </w:rPr>
      </w:pPr>
      <w:r>
        <w:rPr>
          <w:sz w:val="24"/>
          <w:szCs w:val="24"/>
        </w:rPr>
        <w:t>Codes that require prior authorization are indicated by a “Q” in the Auth Required Column.</w:t>
      </w:r>
    </w:p>
    <w:p w14:paraId="7F869E70" w14:textId="2CD57628" w:rsidR="00AA05C3" w:rsidRDefault="00AA05C3" w:rsidP="00047D3B">
      <w:pPr>
        <w:pStyle w:val="AcentraLetterText"/>
        <w:rPr>
          <w:sz w:val="24"/>
          <w:szCs w:val="24"/>
        </w:rPr>
      </w:pPr>
      <w:r>
        <w:rPr>
          <w:noProof/>
        </w:rPr>
        <w:drawing>
          <wp:inline distT="0" distB="0" distL="0" distR="0" wp14:anchorId="1422B001" wp14:editId="73430283">
            <wp:extent cx="4991100" cy="704850"/>
            <wp:effectExtent l="0" t="0" r="0" b="0"/>
            <wp:docPr id="1775533013" name="Picture 1" descr="A yellow squa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33013" name="Picture 1" descr="A yellow square on a white background&#10;&#10;Description automatically generated"/>
                    <pic:cNvPicPr/>
                  </pic:nvPicPr>
                  <pic:blipFill>
                    <a:blip r:embed="rId13"/>
                    <a:stretch>
                      <a:fillRect/>
                    </a:stretch>
                  </pic:blipFill>
                  <pic:spPr>
                    <a:xfrm>
                      <a:off x="0" y="0"/>
                      <a:ext cx="4991100" cy="704850"/>
                    </a:xfrm>
                    <a:prstGeom prst="rect">
                      <a:avLst/>
                    </a:prstGeom>
                  </pic:spPr>
                </pic:pic>
              </a:graphicData>
            </a:graphic>
          </wp:inline>
        </w:drawing>
      </w:r>
    </w:p>
    <w:p w14:paraId="06EC66E6" w14:textId="727C6F77" w:rsidR="00AA05C3" w:rsidRDefault="00AA05C3" w:rsidP="00047D3B">
      <w:pPr>
        <w:pStyle w:val="AcentraLetterText"/>
        <w:rPr>
          <w:sz w:val="24"/>
          <w:szCs w:val="24"/>
        </w:rPr>
      </w:pPr>
      <w:r>
        <w:rPr>
          <w:sz w:val="24"/>
          <w:szCs w:val="24"/>
        </w:rPr>
        <w:t>Any time you are concerned about a discrepancy, please contact the Acentra Health Customer Service center and we will be happy to research it – 1-855-326-5219.</w:t>
      </w:r>
    </w:p>
    <w:p w14:paraId="171CEF8C" w14:textId="26ABEE22" w:rsidR="00AA05C3" w:rsidRPr="00AA05C3" w:rsidRDefault="00AA05C3" w:rsidP="00047D3B">
      <w:pPr>
        <w:pStyle w:val="AcentraLetterText"/>
        <w:rPr>
          <w:sz w:val="24"/>
          <w:szCs w:val="24"/>
        </w:rPr>
      </w:pPr>
      <w:r>
        <w:rPr>
          <w:sz w:val="24"/>
          <w:szCs w:val="24"/>
        </w:rPr>
        <w:t xml:space="preserve">Acentra Health highly encourages DME providers to check the Fee Schedule at least once a month regarding frequently requested codes, manually priced codes, new codes, and codes that require prior authorization. </w:t>
      </w:r>
    </w:p>
    <w:p w14:paraId="33F17D5E" w14:textId="77777777" w:rsidR="00E952B9" w:rsidRDefault="00E952B9" w:rsidP="00047D3B">
      <w:pPr>
        <w:pStyle w:val="AcentraLetterText"/>
        <w:rPr>
          <w:b/>
          <w:bCs/>
          <w:sz w:val="24"/>
          <w:szCs w:val="24"/>
        </w:rPr>
      </w:pPr>
    </w:p>
    <w:p w14:paraId="2C9E7FAF" w14:textId="0902E8AE" w:rsidR="00E952B9" w:rsidRDefault="00E952B9" w:rsidP="00047D3B">
      <w:pPr>
        <w:pStyle w:val="AcentraLetterText"/>
        <w:rPr>
          <w:b/>
          <w:bCs/>
          <w:sz w:val="24"/>
          <w:szCs w:val="24"/>
        </w:rPr>
      </w:pPr>
      <w:r>
        <w:rPr>
          <w:b/>
          <w:bCs/>
          <w:sz w:val="24"/>
          <w:szCs w:val="24"/>
        </w:rPr>
        <w:t xml:space="preserve">If no PA is required for private </w:t>
      </w:r>
      <w:r w:rsidR="00AA05C3">
        <w:rPr>
          <w:b/>
          <w:bCs/>
          <w:sz w:val="24"/>
          <w:szCs w:val="24"/>
        </w:rPr>
        <w:t>insurance,</w:t>
      </w:r>
      <w:r>
        <w:rPr>
          <w:b/>
          <w:bCs/>
          <w:sz w:val="24"/>
          <w:szCs w:val="24"/>
        </w:rPr>
        <w:t xml:space="preserve"> then what documentation Is</w:t>
      </w:r>
      <w:r w:rsidR="00AA05C3">
        <w:rPr>
          <w:b/>
          <w:bCs/>
          <w:sz w:val="24"/>
          <w:szCs w:val="24"/>
        </w:rPr>
        <w:t xml:space="preserve"> </w:t>
      </w:r>
      <w:r>
        <w:rPr>
          <w:b/>
          <w:bCs/>
          <w:sz w:val="24"/>
          <w:szCs w:val="24"/>
        </w:rPr>
        <w:t>neede</w:t>
      </w:r>
      <w:r w:rsidR="00AA05C3">
        <w:rPr>
          <w:b/>
          <w:bCs/>
          <w:sz w:val="24"/>
          <w:szCs w:val="24"/>
        </w:rPr>
        <w:t>d</w:t>
      </w:r>
      <w:r>
        <w:rPr>
          <w:b/>
          <w:bCs/>
          <w:sz w:val="24"/>
          <w:szCs w:val="24"/>
        </w:rPr>
        <w:t xml:space="preserve"> to submit to get an approval from Medicaid?</w:t>
      </w:r>
    </w:p>
    <w:p w14:paraId="30F59F3F" w14:textId="77777777" w:rsidR="00651F24" w:rsidRDefault="00651F24" w:rsidP="00651F24">
      <w:pPr>
        <w:pStyle w:val="AcentraLetterText"/>
        <w:rPr>
          <w:sz w:val="24"/>
          <w:szCs w:val="24"/>
        </w:rPr>
      </w:pPr>
      <w:r>
        <w:rPr>
          <w:sz w:val="24"/>
          <w:szCs w:val="24"/>
        </w:rPr>
        <w:t xml:space="preserve">Prior authorization is not required from Acentra Health when a member has other primary health insurance UNLESS the primary insurance </w:t>
      </w:r>
      <w:r w:rsidRPr="00FB1603">
        <w:rPr>
          <w:b/>
          <w:bCs/>
          <w:sz w:val="24"/>
          <w:szCs w:val="24"/>
        </w:rPr>
        <w:t>denies</w:t>
      </w:r>
      <w:r>
        <w:rPr>
          <w:sz w:val="24"/>
          <w:szCs w:val="24"/>
        </w:rPr>
        <w:t xml:space="preserve"> your claim for exhausted benefits or noncovered services. </w:t>
      </w:r>
    </w:p>
    <w:p w14:paraId="6226BB09" w14:textId="77777777" w:rsidR="00651F24" w:rsidRDefault="00651F24" w:rsidP="00651F24">
      <w:pPr>
        <w:pStyle w:val="AcentraLetterText"/>
        <w:rPr>
          <w:sz w:val="24"/>
          <w:szCs w:val="24"/>
        </w:rPr>
      </w:pPr>
      <w:r>
        <w:rPr>
          <w:sz w:val="24"/>
          <w:szCs w:val="24"/>
        </w:rPr>
        <w:t>Rules of the primary insurance must be followed (including prior authorization and documentation requirements). Once a claim is filed to the primary insurance and adjudicated/processed/completed, the provider will then submit a claim to SC Medicaid following the rules outlined in the Provider Administrative and Billing Manual – you must include a copy of the member’s primary EOB or remittance.</w:t>
      </w:r>
    </w:p>
    <w:p w14:paraId="02E23BD0" w14:textId="6B1672FD" w:rsidR="00651F24" w:rsidRPr="00A03624" w:rsidRDefault="00651F24" w:rsidP="00651F24">
      <w:pPr>
        <w:pStyle w:val="AcentraLetterText"/>
        <w:rPr>
          <w:sz w:val="24"/>
          <w:szCs w:val="24"/>
        </w:rPr>
      </w:pPr>
      <w:r>
        <w:rPr>
          <w:sz w:val="24"/>
          <w:szCs w:val="24"/>
        </w:rPr>
        <w:t xml:space="preserve">If the </w:t>
      </w:r>
      <w:r w:rsidRPr="00E96B1A">
        <w:rPr>
          <w:b/>
          <w:bCs/>
          <w:sz w:val="24"/>
          <w:szCs w:val="24"/>
        </w:rPr>
        <w:t>primary</w:t>
      </w:r>
      <w:r>
        <w:rPr>
          <w:sz w:val="24"/>
          <w:szCs w:val="24"/>
        </w:rPr>
        <w:t xml:space="preserve"> insurance denies the member’s claims for exhausted benefits or noncovered services, the provider may submit a prior authorization request for the service dates denied. Medical necessity documentation and a copy of the EOB or remittance are required. Acentra Health will process the review and make a determination</w:t>
      </w:r>
      <w:r>
        <w:rPr>
          <w:sz w:val="24"/>
          <w:szCs w:val="24"/>
        </w:rPr>
        <w:t xml:space="preserve">. </w:t>
      </w:r>
      <w:r>
        <w:rPr>
          <w:sz w:val="24"/>
          <w:szCs w:val="24"/>
        </w:rPr>
        <w:t xml:space="preserve"> A secondary claim can then be filed to SC Medicaid. </w:t>
      </w:r>
    </w:p>
    <w:p w14:paraId="38508F3F" w14:textId="57463A30" w:rsidR="00E952B9" w:rsidRDefault="00E952B9" w:rsidP="00047D3B">
      <w:pPr>
        <w:pStyle w:val="AcentraLetterText"/>
        <w:rPr>
          <w:b/>
          <w:bCs/>
          <w:sz w:val="24"/>
          <w:szCs w:val="24"/>
        </w:rPr>
      </w:pPr>
      <w:r>
        <w:rPr>
          <w:b/>
          <w:bCs/>
          <w:sz w:val="24"/>
          <w:szCs w:val="24"/>
        </w:rPr>
        <w:lastRenderedPageBreak/>
        <w:t>Why only 2 days to respond t</w:t>
      </w:r>
      <w:r w:rsidR="00651F24">
        <w:rPr>
          <w:b/>
          <w:bCs/>
          <w:sz w:val="24"/>
          <w:szCs w:val="24"/>
        </w:rPr>
        <w:t>o</w:t>
      </w:r>
      <w:r>
        <w:rPr>
          <w:b/>
          <w:bCs/>
          <w:sz w:val="24"/>
          <w:szCs w:val="24"/>
        </w:rPr>
        <w:t xml:space="preserve"> a pending request?</w:t>
      </w:r>
    </w:p>
    <w:p w14:paraId="0FA0C259" w14:textId="34BEC5AD" w:rsidR="00651F24" w:rsidRPr="00651F24" w:rsidRDefault="00651F24" w:rsidP="00047D3B">
      <w:pPr>
        <w:pStyle w:val="AcentraLetterText"/>
        <w:rPr>
          <w:sz w:val="24"/>
          <w:szCs w:val="24"/>
        </w:rPr>
      </w:pPr>
      <w:r>
        <w:rPr>
          <w:sz w:val="24"/>
          <w:szCs w:val="24"/>
        </w:rPr>
        <w:t xml:space="preserve">The </w:t>
      </w:r>
      <w:proofErr w:type="gramStart"/>
      <w:r>
        <w:rPr>
          <w:sz w:val="24"/>
          <w:szCs w:val="24"/>
        </w:rPr>
        <w:t>2 day</w:t>
      </w:r>
      <w:proofErr w:type="gramEnd"/>
      <w:r>
        <w:rPr>
          <w:sz w:val="24"/>
          <w:szCs w:val="24"/>
        </w:rPr>
        <w:t xml:space="preserve"> response time was determined by SCDHHS in 2012, it is a contractual requirement. </w:t>
      </w:r>
    </w:p>
    <w:p w14:paraId="1CF7C31F" w14:textId="77777777" w:rsidR="00E952B9" w:rsidRDefault="00E952B9" w:rsidP="00047D3B">
      <w:pPr>
        <w:pStyle w:val="AcentraLetterText"/>
        <w:rPr>
          <w:b/>
          <w:bCs/>
          <w:sz w:val="24"/>
          <w:szCs w:val="24"/>
        </w:rPr>
      </w:pPr>
    </w:p>
    <w:p w14:paraId="2D5A0B71" w14:textId="6B268471" w:rsidR="00E952B9" w:rsidRDefault="00E952B9" w:rsidP="00047D3B">
      <w:pPr>
        <w:pStyle w:val="AcentraLetterText"/>
        <w:rPr>
          <w:b/>
          <w:bCs/>
          <w:sz w:val="24"/>
          <w:szCs w:val="24"/>
        </w:rPr>
      </w:pPr>
      <w:r>
        <w:rPr>
          <w:b/>
          <w:bCs/>
          <w:sz w:val="24"/>
          <w:szCs w:val="24"/>
        </w:rPr>
        <w:t>For the manually priced – will a MSRP work or is a patient specific cost invoice required?</w:t>
      </w:r>
    </w:p>
    <w:p w14:paraId="720C5873" w14:textId="541FC5BC" w:rsidR="00651F24" w:rsidRDefault="00651F24" w:rsidP="00047D3B">
      <w:pPr>
        <w:pStyle w:val="AcentraLetterText"/>
        <w:rPr>
          <w:sz w:val="24"/>
          <w:szCs w:val="24"/>
        </w:rPr>
      </w:pPr>
      <w:r>
        <w:rPr>
          <w:sz w:val="24"/>
          <w:szCs w:val="24"/>
        </w:rPr>
        <w:t xml:space="preserve">Information related to manually priced items may be found in the SCDHHS Durable Medical Equipment Provider Manual, Chapter 6 – Billing Guidance. </w:t>
      </w:r>
    </w:p>
    <w:p w14:paraId="0AF83A22" w14:textId="5756D0D0" w:rsidR="00651F24" w:rsidRDefault="00651F24" w:rsidP="00047D3B">
      <w:pPr>
        <w:pStyle w:val="AcentraLetterText"/>
      </w:pPr>
      <w:r>
        <w:rPr>
          <w:sz w:val="24"/>
          <w:szCs w:val="24"/>
        </w:rPr>
        <w:t>“</w:t>
      </w:r>
      <w:r>
        <w:t>To ensure accurate payment of manually priced and NOC codes, the provider must submit an actual invoice or a manufacturer price quote. If submitting screen prints and web-page printouts, a signature is required certifying the date, quantity, cost, and description of items being billed.</w:t>
      </w:r>
      <w:r>
        <w:t>”</w:t>
      </w:r>
    </w:p>
    <w:p w14:paraId="70DA8089" w14:textId="77777777" w:rsidR="00E952B9" w:rsidRDefault="00E952B9" w:rsidP="00047D3B">
      <w:pPr>
        <w:pStyle w:val="AcentraLetterText"/>
        <w:rPr>
          <w:b/>
          <w:bCs/>
          <w:sz w:val="24"/>
          <w:szCs w:val="24"/>
        </w:rPr>
      </w:pPr>
    </w:p>
    <w:p w14:paraId="447F3269" w14:textId="0D505191" w:rsidR="00E952B9" w:rsidRDefault="00E952B9" w:rsidP="00047D3B">
      <w:pPr>
        <w:pStyle w:val="AcentraLetterText"/>
        <w:rPr>
          <w:rFonts w:ascii="Segoe UI" w:hAnsi="Segoe UI" w:cs="Segoe UI"/>
          <w:b/>
          <w:bCs/>
          <w:color w:val="11100F"/>
          <w:sz w:val="21"/>
          <w:szCs w:val="21"/>
          <w:shd w:val="clear" w:color="auto" w:fill="E9EAF6"/>
        </w:rPr>
      </w:pPr>
      <w:r w:rsidRPr="00CC7CC8">
        <w:rPr>
          <w:rFonts w:ascii="Segoe UI" w:hAnsi="Segoe UI" w:cs="Segoe UI"/>
          <w:b/>
          <w:bCs/>
          <w:color w:val="11100F"/>
          <w:sz w:val="21"/>
          <w:szCs w:val="21"/>
          <w:shd w:val="clear" w:color="auto" w:fill="E9EAF6"/>
        </w:rPr>
        <w:t xml:space="preserve">If the </w:t>
      </w:r>
      <w:r w:rsidR="00CC7CC8" w:rsidRPr="00CC7CC8">
        <w:rPr>
          <w:rFonts w:ascii="Segoe UI" w:hAnsi="Segoe UI" w:cs="Segoe UI"/>
          <w:b/>
          <w:bCs/>
          <w:color w:val="11100F"/>
          <w:sz w:val="21"/>
          <w:szCs w:val="21"/>
          <w:shd w:val="clear" w:color="auto" w:fill="E9EAF6"/>
        </w:rPr>
        <w:t xml:space="preserve">DME </w:t>
      </w:r>
      <w:r w:rsidRPr="00CC7CC8">
        <w:rPr>
          <w:rFonts w:ascii="Segoe UI" w:hAnsi="Segoe UI" w:cs="Segoe UI"/>
          <w:b/>
          <w:bCs/>
          <w:color w:val="11100F"/>
          <w:sz w:val="21"/>
          <w:szCs w:val="21"/>
          <w:shd w:val="clear" w:color="auto" w:fill="E9EAF6"/>
        </w:rPr>
        <w:t xml:space="preserve"> equipment has not been delivered prior to PA submission, what date should be entered on the CMN as date of service?</w:t>
      </w:r>
    </w:p>
    <w:p w14:paraId="3FCE2F79" w14:textId="3CF15EC6" w:rsidR="00CC7CC8" w:rsidRPr="00CC7CC8" w:rsidRDefault="00CC7CC8" w:rsidP="00047D3B">
      <w:pPr>
        <w:pStyle w:val="AcentraLetterText"/>
        <w:rPr>
          <w:rFonts w:ascii="Segoe UI" w:hAnsi="Segoe UI" w:cs="Segoe UI"/>
          <w:color w:val="11100F"/>
          <w:sz w:val="21"/>
          <w:szCs w:val="21"/>
          <w:shd w:val="clear" w:color="auto" w:fill="E9EAF6"/>
        </w:rPr>
      </w:pPr>
      <w:r>
        <w:rPr>
          <w:rFonts w:ascii="Segoe UI" w:hAnsi="Segoe UI" w:cs="Segoe UI"/>
          <w:color w:val="11100F"/>
          <w:sz w:val="21"/>
          <w:szCs w:val="21"/>
          <w:shd w:val="clear" w:color="auto" w:fill="E9EAF6"/>
        </w:rPr>
        <w:t xml:space="preserve">According to SCDHHS, the Service date must be the same as the delivery date. For the purpose of obtaining an authorization, Acentra Health does not need that date to be completed if the service has not been delivered. Providers must accurately record the date when the item is delivered and prior to claims submission. Please communicate in your PA request that services have not been delivered at the time of PA request.  </w:t>
      </w:r>
    </w:p>
    <w:p w14:paraId="5AE2CE87" w14:textId="77777777" w:rsidR="00E952B9" w:rsidRDefault="00E952B9" w:rsidP="00047D3B">
      <w:pPr>
        <w:pStyle w:val="AcentraLetterText"/>
        <w:rPr>
          <w:rFonts w:ascii="Segoe UI" w:hAnsi="Segoe UI" w:cs="Segoe UI"/>
          <w:b/>
          <w:bCs/>
          <w:color w:val="11100F"/>
          <w:sz w:val="21"/>
          <w:szCs w:val="21"/>
          <w:shd w:val="clear" w:color="auto" w:fill="E9EAF6"/>
        </w:rPr>
      </w:pPr>
    </w:p>
    <w:p w14:paraId="71EE9ABD" w14:textId="3F4CCE1C" w:rsidR="00E952B9" w:rsidRDefault="00E952B9" w:rsidP="00047D3B">
      <w:pPr>
        <w:pStyle w:val="AcentraLetterText"/>
        <w:rPr>
          <w:rFonts w:ascii="Segoe UI" w:hAnsi="Segoe UI" w:cs="Segoe UI"/>
          <w:b/>
          <w:bCs/>
          <w:color w:val="11100F"/>
          <w:sz w:val="21"/>
          <w:szCs w:val="21"/>
          <w:shd w:val="clear" w:color="auto" w:fill="E9EAF6"/>
        </w:rPr>
      </w:pPr>
      <w:r w:rsidRPr="00E952B9">
        <w:rPr>
          <w:rFonts w:ascii="Segoe UI" w:hAnsi="Segoe UI" w:cs="Segoe UI"/>
          <w:b/>
          <w:bCs/>
          <w:color w:val="11100F"/>
          <w:sz w:val="21"/>
          <w:szCs w:val="21"/>
          <w:shd w:val="clear" w:color="auto" w:fill="E9EAF6"/>
        </w:rPr>
        <w:t>Just to clarify, the only items that require the Vendor Quote are those marked as Manually Priced on the Fee Schedule?</w:t>
      </w:r>
    </w:p>
    <w:p w14:paraId="75AE2878" w14:textId="68ECBE9A" w:rsidR="00CC7CC8" w:rsidRPr="00CC7CC8" w:rsidRDefault="00CC7CC8" w:rsidP="00047D3B">
      <w:pPr>
        <w:pStyle w:val="AcentraLetterText"/>
        <w:rPr>
          <w:sz w:val="24"/>
          <w:szCs w:val="24"/>
        </w:rPr>
      </w:pPr>
      <w:r>
        <w:rPr>
          <w:rFonts w:ascii="Segoe UI" w:hAnsi="Segoe UI" w:cs="Segoe UI"/>
          <w:color w:val="11100F"/>
          <w:sz w:val="21"/>
          <w:szCs w:val="21"/>
          <w:shd w:val="clear" w:color="auto" w:fill="E9EAF6"/>
        </w:rPr>
        <w:t xml:space="preserve">All items marked with an M in the Payment Rate column on the DME Fee Schedule require an actual invoice or MSRP price quote. Please refer to the SCDHHS Durable Medical Equipment Provider Manual, Chapter 6 – Billing Guidance. </w:t>
      </w:r>
    </w:p>
    <w:bookmarkEnd w:id="0"/>
    <w:sectPr w:rsidR="00CC7CC8" w:rsidRPr="00CC7CC8" w:rsidSect="008117D6">
      <w:headerReference w:type="even" r:id="rId14"/>
      <w:headerReference w:type="default" r:id="rId15"/>
      <w:footerReference w:type="even" r:id="rId16"/>
      <w:footerReference w:type="default" r:id="rId17"/>
      <w:headerReference w:type="first" r:id="rId18"/>
      <w:footerReference w:type="first" r:id="rId19"/>
      <w:pgSz w:w="12240" w:h="15840" w:code="1"/>
      <w:pgMar w:top="2405" w:right="1440" w:bottom="2160" w:left="1440" w:header="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3126A" w14:textId="77777777" w:rsidR="001C348B" w:rsidRDefault="001C348B" w:rsidP="00C74FCF">
      <w:r>
        <w:separator/>
      </w:r>
    </w:p>
  </w:endnote>
  <w:endnote w:type="continuationSeparator" w:id="0">
    <w:p w14:paraId="50BAF452" w14:textId="77777777" w:rsidR="001C348B" w:rsidRDefault="001C348B" w:rsidP="00C7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aktum-Medium">
    <w:altName w:val="Calibri"/>
    <w:panose1 w:val="00000000000000000000"/>
    <w:charset w:val="4D"/>
    <w:family w:val="auto"/>
    <w:notTrueType/>
    <w:pitch w:val="default"/>
    <w:sig w:usb0="00000003" w:usb1="00000000" w:usb2="00000000" w:usb3="00000000" w:csb0="00000001" w:csb1="00000000"/>
  </w:font>
  <w:font w:name="Faktum-SemiBold">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AD09F" w14:textId="77777777" w:rsidR="005718B4" w:rsidRDefault="00571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2B31E" w14:textId="77777777" w:rsidR="008117D6" w:rsidRDefault="008117D6" w:rsidP="008117D6">
    <w:pPr>
      <w:pStyle w:val="AcentraFooterAddress"/>
      <w:pBdr>
        <w:top w:val="single" w:sz="4" w:space="1" w:color="auto"/>
      </w:pBdr>
      <w:spacing w:before="0" w:beforeAutospacing="0" w:after="0" w:afterAutospacing="0"/>
    </w:pPr>
  </w:p>
  <w:p w14:paraId="163E6429" w14:textId="186E9E40" w:rsidR="00F7308A" w:rsidRDefault="008117D6" w:rsidP="008117D6">
    <w:pPr>
      <w:pStyle w:val="AcentraFooterAddress"/>
      <w:pBdr>
        <w:top w:val="single" w:sz="4" w:space="1" w:color="auto"/>
      </w:pBdr>
      <w:spacing w:before="0" w:beforeAutospacing="0" w:after="0" w:afterAutospacing="0"/>
    </w:pPr>
    <w:r w:rsidRPr="00774FC0">
      <w:t>1600 Tysons</w:t>
    </w:r>
    <w:r>
      <w:t xml:space="preserve"> Boulevard  </w:t>
    </w:r>
    <w:r w:rsidRPr="00A20F4E">
      <w:rPr>
        <w:rStyle w:val="AcentraAddressPipes"/>
      </w:rPr>
      <w:t>|</w:t>
    </w:r>
    <w:r>
      <w:t>  </w:t>
    </w:r>
    <w:r w:rsidR="0087078E">
      <w:t>Suite 1000</w:t>
    </w:r>
    <w:r>
      <w:t>  </w:t>
    </w:r>
    <w:r w:rsidRPr="00A20F4E">
      <w:rPr>
        <w:rStyle w:val="AcentraAddressPipes"/>
      </w:rPr>
      <w:t>|</w:t>
    </w:r>
    <w:r>
      <w:t>  Mc</w:t>
    </w:r>
    <w:r w:rsidR="002174B5">
      <w:t>L</w:t>
    </w:r>
    <w:r>
      <w:t>ean, VA</w:t>
    </w:r>
    <w:r>
      <w:softHyphen/>
      <w:t xml:space="preserve"> 22102</w:t>
    </w:r>
    <w:r>
      <w:tab/>
    </w:r>
    <w:hyperlink r:id="rId1" w:history="1">
      <w:r w:rsidRPr="00A20F4E">
        <w:rPr>
          <w:rStyle w:val="AcentraURLwithlink"/>
        </w:rPr>
        <w:t>acentra.com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0CE76" w14:textId="77777777" w:rsidR="008117D6" w:rsidRDefault="008117D6" w:rsidP="008117D6">
    <w:pPr>
      <w:pStyle w:val="AcentraFooterAddress"/>
      <w:pBdr>
        <w:top w:val="single" w:sz="4" w:space="1" w:color="auto"/>
      </w:pBdr>
      <w:spacing w:before="0" w:beforeAutospacing="0" w:after="0" w:afterAutospacing="0"/>
    </w:pPr>
  </w:p>
  <w:p w14:paraId="3CAD3AE4" w14:textId="7B66AFB9" w:rsidR="00E81A38" w:rsidRDefault="00475346" w:rsidP="008117D6">
    <w:pPr>
      <w:pStyle w:val="AcentraFooterAddress"/>
      <w:pBdr>
        <w:top w:val="single" w:sz="4" w:space="1" w:color="auto"/>
      </w:pBdr>
      <w:spacing w:before="0" w:beforeAutospacing="0" w:after="0" w:afterAutospacing="0"/>
    </w:pPr>
    <w:r w:rsidRPr="00774FC0">
      <w:t>1600 Tysons</w:t>
    </w:r>
    <w:r>
      <w:t xml:space="preserve"> Boulevard</w:t>
    </w:r>
    <w:r w:rsidR="007F2A38">
      <w:t>  </w:t>
    </w:r>
    <w:r w:rsidRPr="00A20F4E">
      <w:rPr>
        <w:rStyle w:val="AcentraAddressPipes"/>
      </w:rPr>
      <w:t>|</w:t>
    </w:r>
    <w:r>
      <w:t>  </w:t>
    </w:r>
    <w:r w:rsidR="00B72277">
      <w:t>Suite</w:t>
    </w:r>
    <w:r w:rsidR="00A853EE">
      <w:t xml:space="preserve"> 1000</w:t>
    </w:r>
    <w:r>
      <w:t>  </w:t>
    </w:r>
    <w:r w:rsidRPr="00A20F4E">
      <w:rPr>
        <w:rStyle w:val="AcentraAddressPipes"/>
      </w:rPr>
      <w:t>|</w:t>
    </w:r>
    <w:r>
      <w:t>  Mc</w:t>
    </w:r>
    <w:r w:rsidR="00CE3F77">
      <w:t>L</w:t>
    </w:r>
    <w:r>
      <w:t>ean, VA</w:t>
    </w:r>
    <w:r w:rsidR="008117D6">
      <w:softHyphen/>
    </w:r>
    <w:r>
      <w:t xml:space="preserve"> 22102</w:t>
    </w:r>
    <w:r>
      <w:tab/>
    </w:r>
    <w:hyperlink r:id="rId1" w:history="1">
      <w:r w:rsidRPr="00A20F4E">
        <w:rPr>
          <w:rStyle w:val="AcentraURLwithlink"/>
        </w:rPr>
        <w:t>acentra.com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5C38E" w14:textId="77777777" w:rsidR="001C348B" w:rsidRDefault="001C348B" w:rsidP="00C74FCF">
      <w:r>
        <w:separator/>
      </w:r>
    </w:p>
  </w:footnote>
  <w:footnote w:type="continuationSeparator" w:id="0">
    <w:p w14:paraId="22E12BD2" w14:textId="77777777" w:rsidR="001C348B" w:rsidRDefault="001C348B" w:rsidP="00C74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57C25" w14:textId="77777777" w:rsidR="00F40A3F" w:rsidRDefault="00F40A3F" w:rsidP="00C74FCF">
    <w:pPr>
      <w:pStyle w:val="Header"/>
    </w:pPr>
    <w:r>
      <w:rPr>
        <w:noProof/>
      </w:rPr>
      <w:drawing>
        <wp:anchor distT="0" distB="0" distL="114300" distR="114300" simplePos="0" relativeHeight="251657728" behindDoc="1" locked="0" layoutInCell="1" allowOverlap="1" wp14:anchorId="5DB13482" wp14:editId="72384D85">
          <wp:simplePos x="0" y="0"/>
          <wp:positionH relativeFrom="margin">
            <wp:posOffset>-1371600</wp:posOffset>
          </wp:positionH>
          <wp:positionV relativeFrom="margin">
            <wp:posOffset>-2161540</wp:posOffset>
          </wp:positionV>
          <wp:extent cx="7772400"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N_Letterhead_noWeb_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D2937" w14:textId="77777777" w:rsidR="005718B4" w:rsidRDefault="00571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A8D1" w14:textId="5B48B4B5" w:rsidR="00895B30" w:rsidRDefault="00CC7CC8" w:rsidP="00C74FCF">
    <w:pPr>
      <w:pStyle w:val="Header"/>
    </w:pPr>
    <w:sdt>
      <w:sdtPr>
        <w:id w:val="512892282"/>
        <w:docPartObj>
          <w:docPartGallery w:val="Watermarks"/>
          <w:docPartUnique/>
        </w:docPartObj>
      </w:sdtPr>
      <w:sdtEndPr/>
      <w:sdtContent>
        <w:r>
          <w:rPr>
            <w:noProof/>
          </w:rPr>
          <w:pict w14:anchorId="52573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D05F5">
      <w:rPr>
        <w:noProof/>
      </w:rPr>
      <w:drawing>
        <wp:anchor distT="0" distB="0" distL="114300" distR="114300" simplePos="0" relativeHeight="251656704" behindDoc="1" locked="0" layoutInCell="1" allowOverlap="1" wp14:anchorId="7502CF8A" wp14:editId="07E0D474">
          <wp:simplePos x="0" y="0"/>
          <wp:positionH relativeFrom="page">
            <wp:posOffset>0</wp:posOffset>
          </wp:positionH>
          <wp:positionV relativeFrom="page">
            <wp:posOffset>1614</wp:posOffset>
          </wp:positionV>
          <wp:extent cx="7754112" cy="136837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754112" cy="1368372"/>
                  </a:xfrm>
                  <a:prstGeom prst="rect">
                    <a:avLst/>
                  </a:prstGeom>
                </pic:spPr>
              </pic:pic>
            </a:graphicData>
          </a:graphic>
          <wp14:sizeRelH relativeFrom="margin">
            <wp14:pctWidth>0</wp14:pctWidth>
          </wp14:sizeRelH>
          <wp14:sizeRelV relativeFrom="margin">
            <wp14:pctHeight>0</wp14:pctHeight>
          </wp14:sizeRelV>
        </wp:anchor>
      </w:drawing>
    </w:r>
    <w:r w:rsidR="00884101">
      <w:t xml:space="preserve"> </w:t>
    </w:r>
  </w:p>
  <w:p w14:paraId="078E3E42" w14:textId="77777777" w:rsidR="00895B30" w:rsidRDefault="00895B30" w:rsidP="00C74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BAE7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3D8AF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46ED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7059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4A0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40BB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47A06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F807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1840A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34F2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9F4F32"/>
    <w:multiLevelType w:val="hybridMultilevel"/>
    <w:tmpl w:val="1C380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0A61E1"/>
    <w:multiLevelType w:val="hybridMultilevel"/>
    <w:tmpl w:val="713C697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15:restartNumberingAfterBreak="0">
    <w:nsid w:val="1CDC6BD0"/>
    <w:multiLevelType w:val="hybridMultilevel"/>
    <w:tmpl w:val="B9C8AAC2"/>
    <w:lvl w:ilvl="0" w:tplc="03E6CBEE">
      <w:start w:val="1"/>
      <w:numFmt w:val="bullet"/>
      <w:lvlText w:val="-"/>
      <w:lvlJc w:val="left"/>
      <w:pPr>
        <w:ind w:left="1166" w:hanging="360"/>
      </w:pPr>
      <w:rPr>
        <w:rFonts w:ascii="Sylfaen" w:hAnsi="Sylfaen" w:hint="default"/>
      </w:rPr>
    </w:lvl>
    <w:lvl w:ilvl="1" w:tplc="04090003">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3" w15:restartNumberingAfterBreak="0">
    <w:nsid w:val="3E1330BC"/>
    <w:multiLevelType w:val="hybridMultilevel"/>
    <w:tmpl w:val="3FF61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B4E35"/>
    <w:multiLevelType w:val="hybridMultilevel"/>
    <w:tmpl w:val="4FBA1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810CB"/>
    <w:multiLevelType w:val="hybridMultilevel"/>
    <w:tmpl w:val="F57C3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F76E54"/>
    <w:multiLevelType w:val="hybridMultilevel"/>
    <w:tmpl w:val="945A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D0499"/>
    <w:multiLevelType w:val="hybridMultilevel"/>
    <w:tmpl w:val="0F10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9967D7"/>
    <w:multiLevelType w:val="hybridMultilevel"/>
    <w:tmpl w:val="DA3CA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29455059">
    <w:abstractNumId w:val="0"/>
  </w:num>
  <w:num w:numId="2" w16cid:durableId="2124765163">
    <w:abstractNumId w:val="1"/>
  </w:num>
  <w:num w:numId="3" w16cid:durableId="1312059220">
    <w:abstractNumId w:val="2"/>
  </w:num>
  <w:num w:numId="4" w16cid:durableId="188613976">
    <w:abstractNumId w:val="3"/>
  </w:num>
  <w:num w:numId="5" w16cid:durableId="1957563238">
    <w:abstractNumId w:val="8"/>
  </w:num>
  <w:num w:numId="6" w16cid:durableId="1415665214">
    <w:abstractNumId w:val="4"/>
  </w:num>
  <w:num w:numId="7" w16cid:durableId="1212498544">
    <w:abstractNumId w:val="5"/>
  </w:num>
  <w:num w:numId="8" w16cid:durableId="1139959705">
    <w:abstractNumId w:val="6"/>
  </w:num>
  <w:num w:numId="9" w16cid:durableId="1459374935">
    <w:abstractNumId w:val="7"/>
  </w:num>
  <w:num w:numId="10" w16cid:durableId="872496682">
    <w:abstractNumId w:val="9"/>
  </w:num>
  <w:num w:numId="11" w16cid:durableId="954869744">
    <w:abstractNumId w:val="17"/>
  </w:num>
  <w:num w:numId="12" w16cid:durableId="1629386550">
    <w:abstractNumId w:val="10"/>
  </w:num>
  <w:num w:numId="13" w16cid:durableId="1325166636">
    <w:abstractNumId w:val="13"/>
  </w:num>
  <w:num w:numId="14" w16cid:durableId="1418287684">
    <w:abstractNumId w:val="16"/>
  </w:num>
  <w:num w:numId="15" w16cid:durableId="1172142862">
    <w:abstractNumId w:val="18"/>
  </w:num>
  <w:num w:numId="16" w16cid:durableId="1774546645">
    <w:abstractNumId w:val="15"/>
  </w:num>
  <w:num w:numId="17" w16cid:durableId="620769864">
    <w:abstractNumId w:val="11"/>
  </w:num>
  <w:num w:numId="18" w16cid:durableId="335419863">
    <w:abstractNumId w:val="12"/>
  </w:num>
  <w:num w:numId="19" w16cid:durableId="9806897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35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3D"/>
    <w:rsid w:val="00002C34"/>
    <w:rsid w:val="00031C12"/>
    <w:rsid w:val="00034B3E"/>
    <w:rsid w:val="00047D3B"/>
    <w:rsid w:val="0007094E"/>
    <w:rsid w:val="00083F24"/>
    <w:rsid w:val="000B1405"/>
    <w:rsid w:val="000B1D78"/>
    <w:rsid w:val="000C506E"/>
    <w:rsid w:val="001123E2"/>
    <w:rsid w:val="00177353"/>
    <w:rsid w:val="001910BE"/>
    <w:rsid w:val="001944DB"/>
    <w:rsid w:val="001A1F71"/>
    <w:rsid w:val="001B66A6"/>
    <w:rsid w:val="001C348B"/>
    <w:rsid w:val="001D7CEC"/>
    <w:rsid w:val="001F0979"/>
    <w:rsid w:val="001F2BC3"/>
    <w:rsid w:val="002174B5"/>
    <w:rsid w:val="00234A57"/>
    <w:rsid w:val="00250FE2"/>
    <w:rsid w:val="002662BC"/>
    <w:rsid w:val="0029420E"/>
    <w:rsid w:val="00295E27"/>
    <w:rsid w:val="002D05F5"/>
    <w:rsid w:val="002E28C5"/>
    <w:rsid w:val="0030156E"/>
    <w:rsid w:val="00313AAC"/>
    <w:rsid w:val="00317899"/>
    <w:rsid w:val="0032381D"/>
    <w:rsid w:val="00334FCA"/>
    <w:rsid w:val="00335CB9"/>
    <w:rsid w:val="00383136"/>
    <w:rsid w:val="00395ABE"/>
    <w:rsid w:val="003E1FD3"/>
    <w:rsid w:val="003E410E"/>
    <w:rsid w:val="003F1A04"/>
    <w:rsid w:val="003F2E1F"/>
    <w:rsid w:val="003F4078"/>
    <w:rsid w:val="00405B4D"/>
    <w:rsid w:val="00443C75"/>
    <w:rsid w:val="00475346"/>
    <w:rsid w:val="004B5054"/>
    <w:rsid w:val="004E5CE6"/>
    <w:rsid w:val="005556AD"/>
    <w:rsid w:val="005718B4"/>
    <w:rsid w:val="00573FE4"/>
    <w:rsid w:val="005B0C6E"/>
    <w:rsid w:val="005D3417"/>
    <w:rsid w:val="005D686D"/>
    <w:rsid w:val="005D712A"/>
    <w:rsid w:val="005E5F4D"/>
    <w:rsid w:val="005F673D"/>
    <w:rsid w:val="006324AE"/>
    <w:rsid w:val="0063254D"/>
    <w:rsid w:val="00651F24"/>
    <w:rsid w:val="006663AE"/>
    <w:rsid w:val="00695825"/>
    <w:rsid w:val="006C4603"/>
    <w:rsid w:val="006C7043"/>
    <w:rsid w:val="006D11E8"/>
    <w:rsid w:val="007157DC"/>
    <w:rsid w:val="00736C5D"/>
    <w:rsid w:val="00774FC0"/>
    <w:rsid w:val="00776268"/>
    <w:rsid w:val="007F2A38"/>
    <w:rsid w:val="007F2D7C"/>
    <w:rsid w:val="008117D6"/>
    <w:rsid w:val="00845F96"/>
    <w:rsid w:val="00856503"/>
    <w:rsid w:val="0087078E"/>
    <w:rsid w:val="00875EAB"/>
    <w:rsid w:val="00884101"/>
    <w:rsid w:val="00895B30"/>
    <w:rsid w:val="008D4B27"/>
    <w:rsid w:val="008E5AF5"/>
    <w:rsid w:val="008F21AC"/>
    <w:rsid w:val="00901BD5"/>
    <w:rsid w:val="00966E1E"/>
    <w:rsid w:val="00991974"/>
    <w:rsid w:val="009A11B7"/>
    <w:rsid w:val="009B093D"/>
    <w:rsid w:val="009C41FD"/>
    <w:rsid w:val="009D74D9"/>
    <w:rsid w:val="009E629C"/>
    <w:rsid w:val="009F7BD4"/>
    <w:rsid w:val="00A03624"/>
    <w:rsid w:val="00A20F4E"/>
    <w:rsid w:val="00A71E6A"/>
    <w:rsid w:val="00A853EE"/>
    <w:rsid w:val="00A90ED6"/>
    <w:rsid w:val="00AA05C3"/>
    <w:rsid w:val="00AB065E"/>
    <w:rsid w:val="00AB2253"/>
    <w:rsid w:val="00AC5C3B"/>
    <w:rsid w:val="00AE28EA"/>
    <w:rsid w:val="00B1006D"/>
    <w:rsid w:val="00B36995"/>
    <w:rsid w:val="00B64853"/>
    <w:rsid w:val="00B72277"/>
    <w:rsid w:val="00B7396E"/>
    <w:rsid w:val="00BF408B"/>
    <w:rsid w:val="00C03656"/>
    <w:rsid w:val="00C74FCF"/>
    <w:rsid w:val="00CC7CC8"/>
    <w:rsid w:val="00CE3F77"/>
    <w:rsid w:val="00D27A49"/>
    <w:rsid w:val="00D55EED"/>
    <w:rsid w:val="00D77B1E"/>
    <w:rsid w:val="00D9659D"/>
    <w:rsid w:val="00DE2285"/>
    <w:rsid w:val="00E05814"/>
    <w:rsid w:val="00E80318"/>
    <w:rsid w:val="00E80E44"/>
    <w:rsid w:val="00E81A38"/>
    <w:rsid w:val="00E952B9"/>
    <w:rsid w:val="00E96B1A"/>
    <w:rsid w:val="00EA0279"/>
    <w:rsid w:val="00F0070A"/>
    <w:rsid w:val="00F03C76"/>
    <w:rsid w:val="00F40A3F"/>
    <w:rsid w:val="00F51230"/>
    <w:rsid w:val="00F7308A"/>
    <w:rsid w:val="00F8589A"/>
    <w:rsid w:val="00F91538"/>
    <w:rsid w:val="00FA66FF"/>
    <w:rsid w:val="00FB1603"/>
    <w:rsid w:val="00FB2CFC"/>
    <w:rsid w:val="00FB5F08"/>
    <w:rsid w:val="00FE0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FB213"/>
  <w15:chartTrackingRefBased/>
  <w15:docId w15:val="{542F6D1E-7851-4B3B-937F-4D00CA51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head Body Text"/>
    <w:rsid w:val="00B36995"/>
    <w:pPr>
      <w:spacing w:before="100" w:beforeAutospacing="1" w:after="100" w:afterAutospacing="1" w:line="240" w:lineRule="exact"/>
    </w:pPr>
    <w:rPr>
      <w:rFonts w:ascii="Arial" w:hAnsi="Arial"/>
      <w:sz w:val="18"/>
    </w:rPr>
  </w:style>
  <w:style w:type="paragraph" w:styleId="Heading2">
    <w:name w:val="heading 2"/>
    <w:basedOn w:val="Normal"/>
    <w:next w:val="Normal"/>
    <w:link w:val="Heading2Char"/>
    <w:uiPriority w:val="9"/>
    <w:unhideWhenUsed/>
    <w:rsid w:val="00895B30"/>
    <w:pPr>
      <w:keepNext/>
      <w:keepLines/>
      <w:spacing w:before="40" w:after="0"/>
      <w:outlineLvl w:val="1"/>
    </w:pPr>
    <w:rPr>
      <w:rFonts w:asciiTheme="majorHAnsi" w:eastAsiaTheme="majorEastAsia" w:hAnsiTheme="majorHAnsi" w:cstheme="majorBidi"/>
      <w:color w:val="15682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5B3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5B30"/>
    <w:rPr>
      <w:sz w:val="20"/>
    </w:rPr>
  </w:style>
  <w:style w:type="paragraph" w:styleId="Footer">
    <w:name w:val="footer"/>
    <w:basedOn w:val="Normal"/>
    <w:link w:val="FooterChar"/>
    <w:uiPriority w:val="99"/>
    <w:unhideWhenUsed/>
    <w:rsid w:val="00895B3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5B30"/>
    <w:rPr>
      <w:sz w:val="20"/>
    </w:rPr>
  </w:style>
  <w:style w:type="character" w:customStyle="1" w:styleId="Heading2Char">
    <w:name w:val="Heading 2 Char"/>
    <w:basedOn w:val="DefaultParagraphFont"/>
    <w:link w:val="Heading2"/>
    <w:uiPriority w:val="9"/>
    <w:rsid w:val="00895B30"/>
    <w:rPr>
      <w:rFonts w:asciiTheme="majorHAnsi" w:eastAsiaTheme="majorEastAsia" w:hAnsiTheme="majorHAnsi" w:cstheme="majorBidi"/>
      <w:color w:val="156829" w:themeColor="accent1" w:themeShade="BF"/>
      <w:sz w:val="26"/>
      <w:szCs w:val="26"/>
    </w:rPr>
  </w:style>
  <w:style w:type="character" w:styleId="Emphasis">
    <w:name w:val="Emphasis"/>
    <w:basedOn w:val="DefaultParagraphFont"/>
    <w:uiPriority w:val="20"/>
    <w:rsid w:val="00895B30"/>
    <w:rPr>
      <w:i/>
      <w:iCs/>
    </w:rPr>
  </w:style>
  <w:style w:type="character" w:customStyle="1" w:styleId="WebAddressHyperlink">
    <w:name w:val="Web Address_Hyperlink"/>
    <w:basedOn w:val="SmartHyperlink"/>
    <w:uiPriority w:val="1"/>
    <w:rsid w:val="0007094E"/>
    <w:rPr>
      <w:rFonts w:ascii="Arial" w:hAnsi="Arial"/>
      <w:b/>
      <w:i w:val="0"/>
      <w:color w:val="EF6A00"/>
      <w:sz w:val="16"/>
      <w:u w:val="dotted"/>
    </w:rPr>
  </w:style>
  <w:style w:type="character" w:styleId="Hyperlink">
    <w:name w:val="Hyperlink"/>
    <w:basedOn w:val="DefaultParagraphFont"/>
    <w:uiPriority w:val="99"/>
    <w:unhideWhenUsed/>
    <w:rsid w:val="007157DC"/>
    <w:rPr>
      <w:color w:val="00A7B5" w:themeColor="hyperlink"/>
      <w:u w:val="single"/>
    </w:rPr>
  </w:style>
  <w:style w:type="character" w:styleId="FollowedHyperlink">
    <w:name w:val="FollowedHyperlink"/>
    <w:basedOn w:val="DefaultParagraphFont"/>
    <w:uiPriority w:val="99"/>
    <w:semiHidden/>
    <w:unhideWhenUsed/>
    <w:rsid w:val="007157DC"/>
    <w:rPr>
      <w:color w:val="D6D2C4" w:themeColor="followedHyperlink"/>
      <w:u w:val="single"/>
    </w:rPr>
  </w:style>
  <w:style w:type="paragraph" w:styleId="NormalWeb">
    <w:name w:val="Normal (Web)"/>
    <w:basedOn w:val="Normal"/>
    <w:uiPriority w:val="99"/>
    <w:unhideWhenUsed/>
    <w:rsid w:val="00E80318"/>
    <w:pPr>
      <w:spacing w:line="240" w:lineRule="auto"/>
    </w:pPr>
    <w:rPr>
      <w:rFonts w:ascii="Times New Roman" w:eastAsia="Times New Roman" w:hAnsi="Times New Roman" w:cs="Times New Roman"/>
      <w:sz w:val="24"/>
      <w:szCs w:val="24"/>
    </w:rPr>
  </w:style>
  <w:style w:type="paragraph" w:customStyle="1" w:styleId="AddressFront">
    <w:name w:val="Address (Front)"/>
    <w:basedOn w:val="Normal"/>
    <w:uiPriority w:val="99"/>
    <w:rsid w:val="002662BC"/>
    <w:pPr>
      <w:autoSpaceDE w:val="0"/>
      <w:autoSpaceDN w:val="0"/>
      <w:adjustRightInd w:val="0"/>
      <w:spacing w:before="0" w:beforeAutospacing="0" w:after="0" w:afterAutospacing="0" w:line="200" w:lineRule="atLeast"/>
      <w:textAlignment w:val="center"/>
    </w:pPr>
    <w:rPr>
      <w:rFonts w:ascii="Faktum-Medium" w:hAnsi="Faktum-Medium" w:cs="Faktum-Medium"/>
      <w:color w:val="5E666F"/>
      <w:sz w:val="15"/>
      <w:szCs w:val="15"/>
    </w:rPr>
  </w:style>
  <w:style w:type="paragraph" w:customStyle="1" w:styleId="URLFront">
    <w:name w:val="URL (Front)"/>
    <w:basedOn w:val="Normal"/>
    <w:uiPriority w:val="99"/>
    <w:rsid w:val="002662BC"/>
    <w:pPr>
      <w:autoSpaceDE w:val="0"/>
      <w:autoSpaceDN w:val="0"/>
      <w:adjustRightInd w:val="0"/>
      <w:spacing w:before="200" w:beforeAutospacing="0" w:after="0" w:afterAutospacing="0" w:line="200" w:lineRule="atLeast"/>
      <w:textAlignment w:val="center"/>
    </w:pPr>
    <w:rPr>
      <w:rFonts w:ascii="Faktum-SemiBold" w:hAnsi="Faktum-SemiBold" w:cs="Faktum-SemiBold"/>
      <w:b/>
      <w:bCs/>
      <w:color w:val="D56B00"/>
      <w:sz w:val="16"/>
      <w:szCs w:val="16"/>
    </w:rPr>
  </w:style>
  <w:style w:type="paragraph" w:customStyle="1" w:styleId="FooterAddress">
    <w:name w:val="Footer_Address"/>
    <w:rsid w:val="0007094E"/>
    <w:pPr>
      <w:spacing w:after="120" w:line="240" w:lineRule="auto"/>
      <w:ind w:left="7488"/>
    </w:pPr>
    <w:rPr>
      <w:rFonts w:ascii="Arial" w:hAnsi="Arial" w:cs="Arial"/>
      <w:color w:val="5E666F"/>
      <w:sz w:val="15"/>
      <w:szCs w:val="15"/>
    </w:rPr>
  </w:style>
  <w:style w:type="paragraph" w:customStyle="1" w:styleId="Style1">
    <w:name w:val="Style1"/>
    <w:basedOn w:val="FooterAddress"/>
    <w:rsid w:val="005F673D"/>
    <w:pPr>
      <w:spacing w:after="200" w:line="2400" w:lineRule="auto"/>
    </w:pPr>
    <w:rPr>
      <w:color w:val="5B6770"/>
    </w:rPr>
  </w:style>
  <w:style w:type="character" w:styleId="UnresolvedMention">
    <w:name w:val="Unresolved Mention"/>
    <w:basedOn w:val="DefaultParagraphFont"/>
    <w:uiPriority w:val="99"/>
    <w:semiHidden/>
    <w:unhideWhenUsed/>
    <w:rsid w:val="00966E1E"/>
    <w:rPr>
      <w:color w:val="605E5C"/>
      <w:shd w:val="clear" w:color="auto" w:fill="E1DFDD"/>
    </w:rPr>
  </w:style>
  <w:style w:type="character" w:styleId="SmartHyperlink">
    <w:name w:val="Smart Hyperlink"/>
    <w:basedOn w:val="DefaultParagraphFont"/>
    <w:uiPriority w:val="99"/>
    <w:semiHidden/>
    <w:unhideWhenUsed/>
    <w:rsid w:val="007F2D7C"/>
    <w:rPr>
      <w:u w:val="dotted"/>
    </w:rPr>
  </w:style>
  <w:style w:type="paragraph" w:customStyle="1" w:styleId="Letter">
    <w:name w:val="Letter"/>
    <w:basedOn w:val="Normal"/>
    <w:rsid w:val="00695825"/>
  </w:style>
  <w:style w:type="paragraph" w:customStyle="1" w:styleId="AcentraLetterText">
    <w:name w:val="Acentra Letter Text"/>
    <w:basedOn w:val="Normal"/>
    <w:uiPriority w:val="99"/>
    <w:qFormat/>
    <w:rsid w:val="009D74D9"/>
    <w:pPr>
      <w:suppressAutoHyphens/>
      <w:autoSpaceDE w:val="0"/>
      <w:autoSpaceDN w:val="0"/>
      <w:adjustRightInd w:val="0"/>
      <w:spacing w:before="0" w:beforeAutospacing="0" w:after="220" w:afterAutospacing="0" w:line="220" w:lineRule="atLeast"/>
      <w:textAlignment w:val="center"/>
    </w:pPr>
    <w:rPr>
      <w:rFonts w:cs="Verdana"/>
      <w:color w:val="000000"/>
      <w:szCs w:val="18"/>
    </w:rPr>
  </w:style>
  <w:style w:type="paragraph" w:customStyle="1" w:styleId="AcentraRecipientNameandAddress">
    <w:name w:val="Acentra Recipient Name and Address"/>
    <w:basedOn w:val="AcentraLetterText"/>
    <w:qFormat/>
    <w:rsid w:val="009D74D9"/>
    <w:pPr>
      <w:spacing w:after="0"/>
    </w:pPr>
    <w:rPr>
      <w:rFonts w:cs="Arial"/>
    </w:rPr>
  </w:style>
  <w:style w:type="paragraph" w:customStyle="1" w:styleId="AcetnraSalutation">
    <w:name w:val="Acetnra Salutation"/>
    <w:basedOn w:val="AcentraLetterText"/>
    <w:qFormat/>
    <w:rsid w:val="00383136"/>
    <w:pPr>
      <w:spacing w:before="440"/>
    </w:pPr>
    <w:rPr>
      <w:rFonts w:cs="Arial"/>
    </w:rPr>
  </w:style>
  <w:style w:type="paragraph" w:customStyle="1" w:styleId="AcentraFooterAddress">
    <w:name w:val="Acentra Footer Address"/>
    <w:basedOn w:val="Normal"/>
    <w:rsid w:val="009D74D9"/>
    <w:pPr>
      <w:tabs>
        <w:tab w:val="right" w:pos="9360"/>
      </w:tabs>
    </w:pPr>
    <w:rPr>
      <w:color w:val="042126"/>
      <w:sz w:val="16"/>
      <w:szCs w:val="16"/>
    </w:rPr>
  </w:style>
  <w:style w:type="character" w:customStyle="1" w:styleId="AcentraAddressPipes">
    <w:name w:val="Acentra Address Pipes"/>
    <w:basedOn w:val="DefaultParagraphFont"/>
    <w:uiPriority w:val="1"/>
    <w:rsid w:val="00A20F4E"/>
    <w:rPr>
      <w:color w:val="2BBC2B"/>
    </w:rPr>
  </w:style>
  <w:style w:type="character" w:customStyle="1" w:styleId="AcentraURL">
    <w:name w:val="Acentra URL"/>
    <w:basedOn w:val="DefaultParagraphFont"/>
    <w:uiPriority w:val="1"/>
    <w:rsid w:val="00A20F4E"/>
    <w:rPr>
      <w:rFonts w:cs="Arial"/>
      <w:b/>
      <w:bCs/>
      <w:color w:val="2BBC2B"/>
      <w:sz w:val="18"/>
      <w:szCs w:val="18"/>
    </w:rPr>
  </w:style>
  <w:style w:type="character" w:customStyle="1" w:styleId="AcentraURLwithlink">
    <w:name w:val="Acentra URL with link"/>
    <w:basedOn w:val="AcentraURL"/>
    <w:uiPriority w:val="1"/>
    <w:rsid w:val="00A20F4E"/>
    <w:rPr>
      <w:rFonts w:cs="Arial"/>
      <w:b/>
      <w:bCs/>
      <w:color w:val="2BBC2B"/>
      <w:sz w:val="18"/>
      <w:szCs w:val="18"/>
    </w:rPr>
  </w:style>
  <w:style w:type="paragraph" w:customStyle="1" w:styleId="AcentraDate">
    <w:name w:val="Acentra Date"/>
    <w:basedOn w:val="AcentraLetterText"/>
    <w:qFormat/>
    <w:rsid w:val="00383136"/>
    <w:pPr>
      <w:spacing w:after="440"/>
    </w:pPr>
  </w:style>
  <w:style w:type="paragraph" w:customStyle="1" w:styleId="AcentraClosing">
    <w:name w:val="Acentra Closing"/>
    <w:basedOn w:val="AcentraLetterText"/>
    <w:qFormat/>
    <w:rsid w:val="00383136"/>
    <w:pPr>
      <w:spacing w:after="660"/>
    </w:pPr>
    <w:rPr>
      <w:rFonts w:cs="Arial"/>
    </w:rPr>
  </w:style>
  <w:style w:type="paragraph" w:styleId="ListParagraph">
    <w:name w:val="List Paragraph"/>
    <w:basedOn w:val="Normal"/>
    <w:uiPriority w:val="34"/>
    <w:qFormat/>
    <w:rsid w:val="00BF408B"/>
    <w:pPr>
      <w:ind w:left="720"/>
      <w:contextualSpacing/>
    </w:pPr>
  </w:style>
  <w:style w:type="table" w:styleId="TableGrid">
    <w:name w:val="Table Grid"/>
    <w:basedOn w:val="TableNormal"/>
    <w:rsid w:val="00D27A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D27A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77270">
      <w:bodyDiv w:val="1"/>
      <w:marLeft w:val="0"/>
      <w:marRight w:val="0"/>
      <w:marTop w:val="0"/>
      <w:marBottom w:val="0"/>
      <w:divBdr>
        <w:top w:val="none" w:sz="0" w:space="0" w:color="auto"/>
        <w:left w:val="none" w:sz="0" w:space="0" w:color="auto"/>
        <w:bottom w:val="none" w:sz="0" w:space="0" w:color="auto"/>
        <w:right w:val="none" w:sz="0" w:space="0" w:color="auto"/>
      </w:divBdr>
      <w:divsChild>
        <w:div w:id="2109504197">
          <w:marLeft w:val="0"/>
          <w:marRight w:val="0"/>
          <w:marTop w:val="0"/>
          <w:marBottom w:val="0"/>
          <w:divBdr>
            <w:top w:val="none" w:sz="0" w:space="0" w:color="auto"/>
            <w:left w:val="none" w:sz="0" w:space="0" w:color="auto"/>
            <w:bottom w:val="none" w:sz="0" w:space="0" w:color="auto"/>
            <w:right w:val="none" w:sz="0" w:space="0" w:color="auto"/>
          </w:divBdr>
        </w:div>
      </w:divsChild>
    </w:div>
    <w:div w:id="492138102">
      <w:bodyDiv w:val="1"/>
      <w:marLeft w:val="0"/>
      <w:marRight w:val="0"/>
      <w:marTop w:val="0"/>
      <w:marBottom w:val="0"/>
      <w:divBdr>
        <w:top w:val="none" w:sz="0" w:space="0" w:color="auto"/>
        <w:left w:val="none" w:sz="0" w:space="0" w:color="auto"/>
        <w:bottom w:val="none" w:sz="0" w:space="0" w:color="auto"/>
        <w:right w:val="none" w:sz="0" w:space="0" w:color="auto"/>
      </w:divBdr>
      <w:divsChild>
        <w:div w:id="727261871">
          <w:marLeft w:val="0"/>
          <w:marRight w:val="0"/>
          <w:marTop w:val="0"/>
          <w:marBottom w:val="0"/>
          <w:divBdr>
            <w:top w:val="none" w:sz="0" w:space="0" w:color="auto"/>
            <w:left w:val="none" w:sz="0" w:space="0" w:color="auto"/>
            <w:bottom w:val="none" w:sz="0" w:space="0" w:color="auto"/>
            <w:right w:val="none" w:sz="0" w:space="0" w:color="auto"/>
          </w:divBdr>
        </w:div>
      </w:divsChild>
    </w:div>
    <w:div w:id="639191676">
      <w:bodyDiv w:val="1"/>
      <w:marLeft w:val="0"/>
      <w:marRight w:val="0"/>
      <w:marTop w:val="0"/>
      <w:marBottom w:val="0"/>
      <w:divBdr>
        <w:top w:val="none" w:sz="0" w:space="0" w:color="auto"/>
        <w:left w:val="none" w:sz="0" w:space="0" w:color="auto"/>
        <w:bottom w:val="none" w:sz="0" w:space="0" w:color="auto"/>
        <w:right w:val="none" w:sz="0" w:space="0" w:color="auto"/>
      </w:divBdr>
      <w:divsChild>
        <w:div w:id="1776902135">
          <w:marLeft w:val="0"/>
          <w:marRight w:val="0"/>
          <w:marTop w:val="0"/>
          <w:marBottom w:val="0"/>
          <w:divBdr>
            <w:top w:val="none" w:sz="0" w:space="0" w:color="auto"/>
            <w:left w:val="none" w:sz="0" w:space="0" w:color="auto"/>
            <w:bottom w:val="none" w:sz="0" w:space="0" w:color="auto"/>
            <w:right w:val="none" w:sz="0" w:space="0" w:color="auto"/>
          </w:divBdr>
        </w:div>
      </w:divsChild>
    </w:div>
    <w:div w:id="1934047103">
      <w:bodyDiv w:val="1"/>
      <w:marLeft w:val="0"/>
      <w:marRight w:val="0"/>
      <w:marTop w:val="0"/>
      <w:marBottom w:val="0"/>
      <w:divBdr>
        <w:top w:val="none" w:sz="0" w:space="0" w:color="auto"/>
        <w:left w:val="none" w:sz="0" w:space="0" w:color="auto"/>
        <w:bottom w:val="none" w:sz="0" w:space="0" w:color="auto"/>
        <w:right w:val="none" w:sz="0" w:space="0" w:color="auto"/>
      </w:divBdr>
      <w:divsChild>
        <w:div w:id="407968549">
          <w:marLeft w:val="0"/>
          <w:marRight w:val="0"/>
          <w:marTop w:val="0"/>
          <w:marBottom w:val="0"/>
          <w:divBdr>
            <w:top w:val="none" w:sz="0" w:space="0" w:color="auto"/>
            <w:left w:val="none" w:sz="0" w:space="0" w:color="auto"/>
            <w:bottom w:val="none" w:sz="0" w:space="0" w:color="auto"/>
            <w:right w:val="none" w:sz="0" w:space="0" w:color="auto"/>
          </w:divBdr>
        </w:div>
      </w:divsChild>
    </w:div>
    <w:div w:id="2064214704">
      <w:bodyDiv w:val="1"/>
      <w:marLeft w:val="0"/>
      <w:marRight w:val="0"/>
      <w:marTop w:val="0"/>
      <w:marBottom w:val="0"/>
      <w:divBdr>
        <w:top w:val="none" w:sz="0" w:space="0" w:color="auto"/>
        <w:left w:val="none" w:sz="0" w:space="0" w:color="auto"/>
        <w:bottom w:val="none" w:sz="0" w:space="0" w:color="auto"/>
        <w:right w:val="none" w:sz="0" w:space="0" w:color="auto"/>
      </w:divBdr>
      <w:divsChild>
        <w:div w:id="128205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cdhhs.acentr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kepro.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acentra.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acentr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rej\Downloads\Acentra%20LH%20and%202nd%20Sheet%20053123%20PC%20Template%20(1).dotx" TargetMode="External"/></Relationships>
</file>

<file path=word/theme/theme1.xml><?xml version="1.0" encoding="utf-8"?>
<a:theme xmlns:a="http://schemas.openxmlformats.org/drawingml/2006/main" name="Acentra Theme1">
  <a:themeElements>
    <a:clrScheme name="Acentra 3">
      <a:dk1>
        <a:srgbClr val="000000"/>
      </a:dk1>
      <a:lt1>
        <a:srgbClr val="FFFFFF"/>
      </a:lt1>
      <a:dk2>
        <a:srgbClr val="042126"/>
      </a:dk2>
      <a:lt2>
        <a:srgbClr val="F2ECE3"/>
      </a:lt2>
      <a:accent1>
        <a:srgbClr val="1C8B38"/>
      </a:accent1>
      <a:accent2>
        <a:srgbClr val="B4EA54"/>
      </a:accent2>
      <a:accent3>
        <a:srgbClr val="ACF2E5"/>
      </a:accent3>
      <a:accent4>
        <a:srgbClr val="D6D2C4"/>
      </a:accent4>
      <a:accent5>
        <a:srgbClr val="F6C436"/>
      </a:accent5>
      <a:accent6>
        <a:srgbClr val="AE2573"/>
      </a:accent6>
      <a:hlink>
        <a:srgbClr val="00A7B5"/>
      </a:hlink>
      <a:folHlink>
        <a:srgbClr val="D6D2C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centra Theme1" id="{B9111BB1-BBA7-EC4B-A083-4B2919BA08A8}" vid="{69C715AE-A08B-964C-9805-94334E5754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4E0A08BCF8BC43AFFE07566468A05D" ma:contentTypeVersion="4" ma:contentTypeDescription="Create a new document." ma:contentTypeScope="" ma:versionID="51802e154e9a38d0ce2d429114e8de03">
  <xsd:schema xmlns:xsd="http://www.w3.org/2001/XMLSchema" xmlns:xs="http://www.w3.org/2001/XMLSchema" xmlns:p="http://schemas.microsoft.com/office/2006/metadata/properties" xmlns:ns2="5c32dfb6-4cda-4260-a3f2-327a7b571234" targetNamespace="http://schemas.microsoft.com/office/2006/metadata/properties" ma:root="true" ma:fieldsID="ec8b3f02bfdd6bfed6d1dcf50da3e911" ns2:_="">
    <xsd:import namespace="5c32dfb6-4cda-4260-a3f2-327a7b5712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2dfb6-4cda-4260-a3f2-327a7b571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7361AF-F2E2-4B42-BC3B-5FFA1614E524}">
  <ds:schemaRefs>
    <ds:schemaRef ds:uri="http://schemas.microsoft.com/sharepoint/v3/contenttype/forms"/>
  </ds:schemaRefs>
</ds:datastoreItem>
</file>

<file path=customXml/itemProps2.xml><?xml version="1.0" encoding="utf-8"?>
<ds:datastoreItem xmlns:ds="http://schemas.openxmlformats.org/officeDocument/2006/customXml" ds:itemID="{5A447F2A-5139-4345-9296-FD4511027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2dfb6-4cda-4260-a3f2-327a7b571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CA648-8273-DD48-AE30-76A7C3377561}">
  <ds:schemaRefs>
    <ds:schemaRef ds:uri="http://schemas.openxmlformats.org/officeDocument/2006/bibliography"/>
  </ds:schemaRefs>
</ds:datastoreItem>
</file>

<file path=customXml/itemProps4.xml><?xml version="1.0" encoding="utf-8"?>
<ds:datastoreItem xmlns:ds="http://schemas.openxmlformats.org/officeDocument/2006/customXml" ds:itemID="{27FB56F1-F12E-44B4-B614-9935D37752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Acentra LH and 2nd Sheet 053123 PC Template (1).dotx</Template>
  <TotalTime>38</TotalTime>
  <Pages>3</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Janice</dc:creator>
  <cp:keywords/>
  <dc:description/>
  <cp:lastModifiedBy>Wendy Fields</cp:lastModifiedBy>
  <cp:revision>3</cp:revision>
  <cp:lastPrinted>2023-05-30T14:20:00Z</cp:lastPrinted>
  <dcterms:created xsi:type="dcterms:W3CDTF">2024-06-20T00:54:00Z</dcterms:created>
  <dcterms:modified xsi:type="dcterms:W3CDTF">2024-06-20T01:33:00Z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0x010100C64E0A08BCF8BC43AFFE07566468A05D</vt:lpwstr>
  </property>
  <property fmtid="{D5CDD505-2E9C-101B-9397-08002B2CF9AE}" pid="4" name="MediaServiceImageTags">
    <vt:lpwstr/>
  </property>
</Properties>
</file>